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399FDC8" w:rsidR="00D6147A" w:rsidRDefault="00AF5C81" w:rsidP="00AF5C81">
      <w:hyperlink r:id="rId6" w:history="1">
        <w:r w:rsidRPr="00C05D9B">
          <w:rPr>
            <w:rStyle w:val="Collegamentoipertestuale"/>
          </w:rPr>
          <w:t>https://www.quotidiano.net/economia/risiko-bancario-patuelli-viva-il-b3d82e29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.net/economia/risiko-bancario-patuelli-viva-il-b3d82e2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2025-02-18T16:59:00Z</dcterms:created>
  <dcterms:modified xsi:type="dcterms:W3CDTF">2025-02-18T16:59:00Z</dcterms:modified>
</cp:coreProperties>
</file>